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93</w:t>
      </w:r>
    </w:p>
    <w:p>
      <w:r>
        <w:t>Bundesgericht (BGE), 1995-01-01, FR</w:t>
      </w:r>
    </w:p>
    <w:p>
      <w:r>
        <w:rPr>
          <w:b/>
        </w:rPr>
        <w:t xml:space="preserve">Quelle: </w:t>
      </w:r>
      <w:r>
        <w:t>https://mcp.opencaselaw.ch/entscheid/bge_121 III 93</w:t>
      </w:r>
    </w:p>
    <w:p>
      <w:r>
        <w:t>FR: ATF 121 III 93</w:t>
      </w:r>
    </w:p>
    <w:p>
      <w:r>
        <w:t>IT: DTF 121 III 93</w:t>
      </w:r>
    </w:p>
    <w:p>
      <w:pPr>
        <w:pStyle w:val="Heading2"/>
      </w:pPr>
      <w:r>
        <w:t>Regeste</w:t>
      </w:r>
    </w:p>
    <w:p>
      <w:r>
        <w:t>Regeste Konkurrierende Ausübung eines Retentionsrechts und einer Eigentumsansprache an zur Konkursmasse gehörenden Gegenständen (Art. 53 KOV). Sofortige Herausgabe der Gegenstände an den Drittansprecher gegen Leistung einer Kaution (Art. 51 KOV). Prosequierung des Retentionsrechts (Betreibung auf Pfandverwertung) des Vermieters mit Bezug auf die Kaution (Art. 283 Abs. 3 SchKG). Die Kaution, die der Drittansprecher gestützt auf Art. 51 KOV zwecks sofortiger Herausgabe der angesprochenen Gegenstände geleistet hat, kann nicht Gegenstand einer Betreibung auf Pfandverwertung während der Dauer des Konkursverfahrens bilden: diese Betreibung bezieht sich nicht auf einen Gegenstand, der einem Dritten gehört; eine Ausnahme von Art. 206 SchKG rechtfertigt sich nicht. Diesfalls muss der Vermieter darauf verwiesen werden, seine Forderung und sein Retentionsrecht im Konkurs einzugeben.</w:t>
      </w:r>
    </w:p>
    <w:p>
      <w:pPr>
        <w:pStyle w:val="Heading2"/>
      </w:pPr>
      <w:r>
        <w:t>Erwägungen</w:t>
      </w:r>
    </w:p>
    <w:p>
      <w:r>
        <w:rPr>
          <w:b/>
        </w:rPr>
        <w:t>E. 1</w:t>
      </w:r>
    </w:p>
    <w:p>
      <w:r>
        <w:t>La recourante invoque une violation de l' art. 206 LP : on lui dénierait à tort le droit de se prévaloir de l'exception au principe de l'exclusion des poursuites contre le débiteur durant la liquidation de la faillite, BGE 121 III 93 S. 95 lorsque ces poursuites tendent à la réalisation d'un gage appartenant à un tiers ( ATF 100 III 51 consid. 1 52/53; ATF 93 III 55 consid. 1 p. 57). Se référant aux ATF 90 III 53 ss et ATF 59 III 128 ss, ainsi qu'à la doctrine (Droit suisse du bail à loyer, Commentaire USPI, Genève 1992, n. 16 ad art. 268-268b CO ; FRITZSCHE/WALDER, Schuldbetreibung und Konkurs nach schweizerischem Recht, vol. II, 3e éd., Zurich 1993, § 63 n. 24), elle soutient que le dépôt d'argent de 125'667 fr. constitue un nouveau gage créé à son profit entre les mains d'un tiers détenteur, savoir l'administration de la faillite. La jurisprudence et la doctrine sur lesquelles la recourante se fonde traitent du cas - non expressément réglé par une disposition légale - du locataire qui, pour éviter que le bailleur n'exerce son droit de rétention, consigne une somme d'argent suffisante à titre de sûreté. La somme d'argent ainsi consignée prend, dans l'inventaire, la place des objets soumis au droit de rétention et le bailleur acquiert sur ladite somme un droit de gage soumis aux mêmes conditions et causes d'extinction que son droit de rétention. En l'espèce, il s'agit d'une autre situation, pour laquelle les références de jurisprudence et de doctrine de la recourante ne lui sont d'aucun secours. Le cas de concurrence d'un droit de gage ou de rétention avec une revendication est spécialement réglé par l'art. 53 OOF (RS 281.32), lequel prescrit la procédure suivante: si la masse reconnaît le bien-fondé de la revendication de propriété, le litige entre le revendiquant et le créancier gagiste est liquidé en dehors de la faillite; si, au contraire, un procès a lieu sur le droit de propriété réclamé, l'administration statue sur le droit de gage, au moyen d'un état de collocation complémentaire, après le rejet définitif de la revendication (cf. ATF 107 III 84 ). L'autorité cantonale de surveillance constate, de manière à lier la Chambre de céans (art. 63 al. 2 par renvoi de l' art. 81 OJ ), que les créanciers de la faillie - la masse - ne se sont pas encore prononcés sur la revendication et que l'administration spéciale de la faillite a simplement décidé pour l'instant de restituer les machines en cause au tiers revendiquant en vertu de l'art. 51 OOF. Cette disposition permet la remise immédiate de l'objet revendiqué notamment dans le cas où le tiers revendiquant fournit une caution. Versée à ce seul titre, afin de garantir la représentation de biens qui étaient en la possession exclusive de la masse (GILLIÉRON, Poursuite pour dettes, faillite et concordat, 3e éd., Lausanne 1993, p. 332 s.), la somme litigieuse ne saurait avoir été constituée en gage au profit de la seule recourante. BGE 121 III 93 S. 96 La poursuite en réalisation de gage que cette dernière entend exercer durant la liquidation de la faillite ne portant pas sur un objet appartenant à un tiers, une exception à l' art. 206 LP ne se justifie pas. C'est dès lors à bon droit que l'autorité cantonale de surveillance a confirmé le refus de l'office de donner suite à la réquisition de poursuite de la recourante et renvoyé celle-ci à produire dans la faillite sa créance et son droit de rétention.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